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color w:val="222222"/>
          <w:sz w:val="16"/>
          <w:highlight w:val="white"/>
          <w:rtl w:val="0"/>
        </w:rPr>
        <w:t xml:space="preserve">Earth Systems and Resources (10%–15%)</w:t>
      </w:r>
    </w:p>
    <w:p w:rsidP="00000000" w:rsidRPr="00000000" w:rsidR="00000000" w:rsidDel="00000000" w:rsidRDefault="00000000">
      <w:pPr>
        <w:numPr>
          <w:ilvl w:val="1"/>
          <w:numId w:val="10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Earth Science Concepts (Geologic time scale; plate tectonics, earthquakes, volcanism; seasons; solar intensity and latitude)</w:t>
      </w:r>
    </w:p>
    <w:p w:rsidP="00000000" w:rsidRPr="00000000" w:rsidR="00000000" w:rsidDel="00000000" w:rsidRDefault="00000000">
      <w:pPr>
        <w:numPr>
          <w:ilvl w:val="1"/>
          <w:numId w:val="10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The Atmosphere (Composition; structure; weather and climate; atmospheric circulation and the Coriolis effect; atmosphere-ocean interactions; ENSO)</w:t>
      </w:r>
    </w:p>
    <w:p w:rsidP="00000000" w:rsidRPr="00000000" w:rsidR="00000000" w:rsidDel="00000000" w:rsidRDefault="00000000">
      <w:pPr>
        <w:numPr>
          <w:ilvl w:val="1"/>
          <w:numId w:val="10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Global Water Resources and Use (Freshwater/saltwater; ocean circulation; agricultural, industrial, and domestic use; surface and groundwater issues; global problems; conservation)</w:t>
      </w:r>
    </w:p>
    <w:p w:rsidP="00000000" w:rsidRPr="00000000" w:rsidR="00000000" w:rsidDel="00000000" w:rsidRDefault="00000000">
      <w:pPr>
        <w:numPr>
          <w:ilvl w:val="1"/>
          <w:numId w:val="10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Soil and Soil Dynamics (Rock cycle; formation; composition; physical and chemical properties; main soil types; erosion and other soil problems; soil conservation)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b w:val="1"/>
          <w:color w:val="222222"/>
          <w:sz w:val="16"/>
          <w:highlight w:val="white"/>
          <w:rtl w:val="0"/>
        </w:rPr>
        <w:t xml:space="preserve">The Living World (10%–15%)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Ecosystem Structure (Biological populations and communities; ecological niches; interactions among species; keystone species; species diversity and edge effects; major terrestrial and aquatic biomes)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Energy Flow (Photosynthesis and cellular respiration; food webs and trophic levels; ecological pyramids)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Ecosystem Diversity (Biodiversity; natural selection; evolution; ecosystem services)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Natural Ecosystem Change (Climate shifts; species movement; ecological succession)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Natural Biogeochemical Cycles (Carbon, nitrogen, phosphorus, sulfur, water, conservation of matter)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color w:val="222222"/>
          <w:sz w:val="16"/>
          <w:highlight w:val="white"/>
          <w:rtl w:val="0"/>
        </w:rPr>
        <w:t xml:space="preserve">Population (10%–15%)</w:t>
      </w:r>
    </w:p>
    <w:p w:rsidP="00000000" w:rsidRPr="00000000" w:rsidR="00000000" w:rsidDel="00000000" w:rsidRDefault="00000000">
      <w:pPr>
        <w:numPr>
          <w:ilvl w:val="1"/>
          <w:numId w:val="9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Population Biology Concepts (Population ecology; carrying capacity; reproductive strategies; survivorship)</w:t>
      </w:r>
    </w:p>
    <w:p w:rsidP="00000000" w:rsidRPr="00000000" w:rsidR="00000000" w:rsidDel="00000000" w:rsidRDefault="00000000">
      <w:pPr>
        <w:numPr>
          <w:ilvl w:val="1"/>
          <w:numId w:val="9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Human Population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color w:val="222222"/>
          <w:sz w:val="16"/>
          <w:highlight w:val="white"/>
          <w:rtl w:val="0"/>
        </w:rPr>
        <w:t xml:space="preserve">Land and Water Use (10%–15%)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Agriculture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Forestry (Tree plantations; old growth forests; forest fires; forest management; national forests)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Rangelands(Overgrazing; deforestation; desertification; rangeland management; federal rangelands)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Other Land Use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Mining (Mineral formation; extraction; global reserves; relevant laws and treaties)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Fishing (Fishing techniques; overfishing; aquaculture; relevant laws and treaties)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Global Economics (Globalization; World Bank; Tragedy of the Commons; relevant laws and treaties)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color w:val="222222"/>
          <w:sz w:val="16"/>
          <w:highlight w:val="white"/>
          <w:rtl w:val="0"/>
        </w:rPr>
        <w:t xml:space="preserve">Energy Resources and Consumption (10%–15%)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Energy Concepts (Energy forms; power; units; conversions; Laws of Thermodynamics)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Energy Consumption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Fossil Fuel Resources and Use (Formation of coal, oil, and natural gas; extraction/purification methods; world reserves and global demand; synfuels; environmental advantages/disadvantages of sources)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Nuclear Energy (Nuclear fission process; nuclear fuel; electricity production; nuclear reactor types; environmental advantages/disadvantages; safety issues; radiation and human health; radioactive wastes; nuclear fusion)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Hydroelectric Power (Dams; flood control; salmon; silting; other impacts)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Energy Conservation (Energy efficiency; CAFE standards; hybrid electric vehicles; mass transit)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Renewable Energy (Solar energy; solar electricity; hydrogen fuel cells; biomass; wind energy; small-scale hydroelectric; ocean waves and tidal energy; geothermal; environmental advantages/disadvantages)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color w:val="222222"/>
          <w:sz w:val="16"/>
          <w:highlight w:val="white"/>
          <w:rtl w:val="0"/>
        </w:rPr>
        <w:t xml:space="preserve">Pollution (25%–30%)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Pollution Types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Impacts on the Environment and Human Health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Economic Impacts (Cost-benefit analysis; externalities; marginal costs; sustainability)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b w:val="1"/>
          <w:color w:val="222222"/>
          <w:sz w:val="16"/>
          <w:highlight w:val="white"/>
          <w:rtl w:val="0"/>
        </w:rPr>
        <w:t xml:space="preserve">Global Change (10%–15%)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Stratospheric Ozone (Formation of stratospheric ozone; ultraviolet radiation; causes of ozone depletion; effects of ozone depletion; strategies for reducing ozone depletion; relevant laws and treaties)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Global Warming (Greenhouse gases and the greenhouse effect; impacts and consequences of global warming; reducing climate change; relevant laws and treaties)</w:t>
      </w:r>
    </w:p>
    <w:p w:rsidP="00000000" w:rsidRPr="00000000" w:rsidR="00000000" w:rsidDel="00000000" w:rsidRDefault="00000000">
      <w:pPr>
        <w:numPr>
          <w:ilvl w:val="1"/>
          <w:numId w:val="1"/>
        </w:numPr>
        <w:ind w:left="1440" w:hanging="359"/>
        <w:contextualSpacing w:val="1"/>
        <w:rPr>
          <w:sz w:val="16"/>
        </w:rPr>
      </w:pPr>
      <w:r w:rsidRPr="00000000" w:rsidR="00000000" w:rsidDel="00000000">
        <w:rPr>
          <w:color w:val="222222"/>
          <w:sz w:val="16"/>
          <w:highlight w:val="white"/>
          <w:rtl w:val="0"/>
        </w:rPr>
        <w:t xml:space="preserve">Loss of Biodiversity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mbria" w:hAnsi="Cambria" w:eastAsia="Cambria" w:ascii="Cambria"/>
          <w:b w:val="1"/>
          <w:color w:val="222222"/>
          <w:sz w:val="24"/>
          <w:highlight w:val="white"/>
          <w:u w:val="single"/>
          <w:rtl w:val="0"/>
        </w:rPr>
        <w:t xml:space="preserve">Exam Review Schedule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jc w:val="left"/>
        <w:rPr>
          <w:rFonts w:cs="Cambria" w:hAnsi="Cambria" w:eastAsia="Cambria" w:ascii="Cambria"/>
          <w:color w:val="222222"/>
          <w:sz w:val="24"/>
          <w:highlight w:val="white"/>
          <w:u w:val="none"/>
        </w:rPr>
      </w:pPr>
      <w:r w:rsidRPr="00000000" w:rsidR="00000000" w:rsidDel="00000000">
        <w:rPr>
          <w:rFonts w:cs="Cambria" w:hAnsi="Cambria" w:eastAsia="Cambria" w:ascii="Cambria"/>
          <w:color w:val="222222"/>
          <w:sz w:val="24"/>
          <w:highlight w:val="white"/>
          <w:rtl w:val="0"/>
        </w:rPr>
        <w:t xml:space="preserve">On the due dates listed below you will have a quiz on the review topic focused primarily on vocabulary (all vocabulary words are organized by chapter beginning on page 246) and multiple choice questions.  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jc w:val="left"/>
        <w:rPr>
          <w:rFonts w:cs="Cambria" w:hAnsi="Cambria" w:eastAsia="Cambria" w:ascii="Cambria"/>
          <w:color w:val="222222"/>
          <w:sz w:val="24"/>
          <w:highlight w:val="white"/>
          <w:u w:val="none"/>
        </w:rPr>
      </w:pPr>
      <w:r w:rsidRPr="00000000" w:rsidR="00000000" w:rsidDel="00000000">
        <w:rPr>
          <w:rFonts w:cs="Cambria" w:hAnsi="Cambria" w:eastAsia="Cambria" w:ascii="Cambria"/>
          <w:color w:val="222222"/>
          <w:sz w:val="24"/>
          <w:highlight w:val="white"/>
          <w:rtl w:val="0"/>
        </w:rPr>
        <w:t xml:space="preserve">For each chapter reading in the Princeton Review book, you will be expected to either write margin notes on post-its (or directly in the book) or keep notes on a separate sheet of paper.  You must also answer the multiple choice and free response questions (</w:t>
      </w:r>
      <w:r w:rsidRPr="00000000" w:rsidR="00000000" w:rsidDel="00000000">
        <w:rPr>
          <w:rFonts w:cs="Cambria" w:hAnsi="Cambria" w:eastAsia="Cambria" w:ascii="Cambria"/>
          <w:b w:val="1"/>
          <w:color w:val="222222"/>
          <w:sz w:val="24"/>
          <w:highlight w:val="white"/>
          <w:rtl w:val="0"/>
        </w:rPr>
        <w:t xml:space="preserve">completely answered) </w:t>
      </w:r>
      <w:r w:rsidRPr="00000000" w:rsidR="00000000" w:rsidDel="00000000">
        <w:rPr>
          <w:rFonts w:cs="Cambria" w:hAnsi="Cambria" w:eastAsia="Cambria" w:ascii="Cambria"/>
          <w:color w:val="222222"/>
          <w:sz w:val="24"/>
          <w:highlight w:val="white"/>
          <w:rtl w:val="0"/>
        </w:rPr>
        <w:t xml:space="preserve">at the end of each chapter.  Don’t worry about the Reflect Activity.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jc w:val="left"/>
        <w:rPr>
          <w:rFonts w:cs="Cambria" w:hAnsi="Cambria" w:eastAsia="Cambria" w:ascii="Cambria"/>
          <w:color w:val="222222"/>
          <w:sz w:val="24"/>
          <w:highlight w:val="white"/>
          <w:u w:val="none"/>
        </w:rPr>
      </w:pPr>
      <w:r w:rsidRPr="00000000" w:rsidR="00000000" w:rsidDel="00000000">
        <w:rPr>
          <w:rFonts w:cs="Cambria" w:hAnsi="Cambria" w:eastAsia="Cambria" w:ascii="Cambria"/>
          <w:color w:val="222222"/>
          <w:sz w:val="24"/>
          <w:highlight w:val="white"/>
          <w:rtl w:val="0"/>
        </w:rPr>
        <w:t xml:space="preserve">Your chapter notes from the review book will be checked every Friday and will count as a 10 point exam - incomplete chapter notes and answers will count as a 0.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Fonts w:cs="Cambria" w:hAnsi="Cambria" w:eastAsia="Cambria" w:ascii="Cambria"/>
          <w:b w:val="1"/>
          <w:color w:val="222222"/>
          <w:sz w:val="24"/>
          <w:highlight w:val="white"/>
          <w:u w:val="single"/>
          <w:rtl w:val="0"/>
        </w:rPr>
        <w:t xml:space="preserve">Friday, March 20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720" w:hanging="359"/>
        <w:contextualSpacing w:val="1"/>
        <w:jc w:val="left"/>
        <w:rPr>
          <w:rFonts w:cs="Cambria" w:hAnsi="Cambria" w:eastAsia="Cambria" w:ascii="Cambria"/>
          <w:color w:val="222222"/>
          <w:sz w:val="24"/>
          <w:highlight w:val="white"/>
        </w:rPr>
      </w:pPr>
      <w:r w:rsidRPr="00000000" w:rsidR="00000000" w:rsidDel="00000000">
        <w:rPr>
          <w:rFonts w:cs="Cambria" w:hAnsi="Cambria" w:eastAsia="Cambria" w:ascii="Cambria"/>
          <w:color w:val="222222"/>
          <w:sz w:val="24"/>
          <w:highlight w:val="white"/>
          <w:rtl w:val="0"/>
        </w:rPr>
        <w:t xml:space="preserve">Princeton Review Chapter 4 Earth’s Interdependent Systems (Pages 43-77)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Fonts w:cs="Cambria" w:hAnsi="Cambria" w:eastAsia="Cambria" w:ascii="Cambria"/>
          <w:b w:val="1"/>
          <w:color w:val="222222"/>
          <w:sz w:val="24"/>
          <w:highlight w:val="white"/>
          <w:u w:val="single"/>
          <w:rtl w:val="0"/>
        </w:rPr>
        <w:t xml:space="preserve">Friday, March 27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jc w:val="left"/>
        <w:rPr>
          <w:rFonts w:cs="Cambria" w:hAnsi="Cambria" w:eastAsia="Cambria" w:ascii="Cambria"/>
          <w:b w:val="1"/>
          <w:color w:val="222222"/>
          <w:sz w:val="24"/>
          <w:highlight w:val="white"/>
          <w:u w:val="none"/>
        </w:rPr>
      </w:pPr>
      <w:r w:rsidRPr="00000000" w:rsidR="00000000" w:rsidDel="00000000">
        <w:rPr>
          <w:rFonts w:cs="Cambria" w:hAnsi="Cambria" w:eastAsia="Cambria" w:ascii="Cambria"/>
          <w:color w:val="222222"/>
          <w:sz w:val="24"/>
          <w:highlight w:val="white"/>
          <w:rtl w:val="0"/>
        </w:rPr>
        <w:t xml:space="preserve">Princeton Review Chapter 5 The Inhabitants of Planet Earth (Pages 79-105)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color w:val="222222"/>
          <w:sz w:val="24"/>
          <w:highlight w:val="white"/>
          <w:u w:val="single"/>
          <w:rtl w:val="0"/>
        </w:rPr>
        <w:t xml:space="preserve">Thursday, April 2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Cambria" w:hAnsi="Cambria" w:eastAsia="Cambria" w:ascii="Cambria"/>
          <w:b w:val="1"/>
          <w:color w:val="222222"/>
          <w:sz w:val="24"/>
          <w:highlight w:val="white"/>
        </w:rPr>
      </w:pPr>
      <w:r w:rsidRPr="00000000" w:rsidR="00000000" w:rsidDel="00000000">
        <w:rPr>
          <w:rFonts w:cs="Cambria" w:hAnsi="Cambria" w:eastAsia="Cambria" w:ascii="Cambria"/>
          <w:color w:val="222222"/>
          <w:sz w:val="24"/>
          <w:highlight w:val="white"/>
          <w:rtl w:val="0"/>
        </w:rPr>
        <w:t xml:space="preserve">Princeton Review Chapter 6 Population Ecology (Pages 107-133)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color w:val="222222"/>
          <w:sz w:val="24"/>
          <w:highlight w:val="white"/>
          <w:u w:val="single"/>
          <w:rtl w:val="0"/>
        </w:rPr>
        <w:t xml:space="preserve">Monday, April 13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Cambria" w:hAnsi="Cambria" w:eastAsia="Cambria" w:ascii="Cambria"/>
          <w:b w:val="1"/>
          <w:color w:val="222222"/>
          <w:sz w:val="24"/>
          <w:highlight w:val="white"/>
        </w:rPr>
      </w:pPr>
      <w:r w:rsidRPr="00000000" w:rsidR="00000000" w:rsidDel="00000000">
        <w:rPr>
          <w:rFonts w:cs="Cambria" w:hAnsi="Cambria" w:eastAsia="Cambria" w:ascii="Cambria"/>
          <w:color w:val="222222"/>
          <w:sz w:val="24"/>
          <w:highlight w:val="white"/>
          <w:rtl w:val="0"/>
        </w:rPr>
        <w:t xml:space="preserve">Princeton Review Chapter 7 Resource Utilization and Chapter 8 (Pages 135-179)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color w:val="222222"/>
          <w:sz w:val="24"/>
          <w:highlight w:val="white"/>
          <w:u w:val="single"/>
          <w:rtl w:val="0"/>
        </w:rPr>
        <w:t xml:space="preserve">Friday, April 17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Cambria" w:hAnsi="Cambria" w:eastAsia="Cambria" w:ascii="Cambria"/>
          <w:b w:val="1"/>
          <w:color w:val="222222"/>
          <w:sz w:val="24"/>
          <w:highlight w:val="white"/>
        </w:rPr>
      </w:pPr>
      <w:r w:rsidRPr="00000000" w:rsidR="00000000" w:rsidDel="00000000">
        <w:rPr>
          <w:rFonts w:cs="Cambria" w:hAnsi="Cambria" w:eastAsia="Cambria" w:ascii="Cambria"/>
          <w:color w:val="222222"/>
          <w:sz w:val="24"/>
          <w:highlight w:val="white"/>
          <w:rtl w:val="0"/>
        </w:rPr>
        <w:t xml:space="preserve">Princeton Review Chapter 8 Pollution (Pages 181-214)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color w:val="222222"/>
          <w:sz w:val="24"/>
          <w:highlight w:val="white"/>
          <w:u w:val="single"/>
          <w:rtl w:val="0"/>
        </w:rPr>
        <w:t xml:space="preserve">Friday, April 24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720" w:hanging="359"/>
        <w:contextualSpacing w:val="1"/>
        <w:rPr>
          <w:rFonts w:cs="Cambria" w:hAnsi="Cambria" w:eastAsia="Cambria" w:ascii="Cambria"/>
          <w:b w:val="1"/>
          <w:color w:val="222222"/>
          <w:sz w:val="24"/>
          <w:highlight w:val="white"/>
        </w:rPr>
      </w:pPr>
      <w:r w:rsidRPr="00000000" w:rsidR="00000000" w:rsidDel="00000000">
        <w:rPr>
          <w:rFonts w:cs="Cambria" w:hAnsi="Cambria" w:eastAsia="Cambria" w:ascii="Cambria"/>
          <w:color w:val="222222"/>
          <w:sz w:val="24"/>
          <w:highlight w:val="white"/>
          <w:rtl w:val="0"/>
        </w:rPr>
        <w:t xml:space="preserve">Princeton Review Chapter 10 Culture, Society, and Env Quality (Pages 217-231)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mbria" w:hAnsi="Cambria" w:eastAsia="Cambria" w:ascii="Cambria"/>
          <w:b w:val="1"/>
          <w:color w:val="222222"/>
          <w:sz w:val="24"/>
          <w:highlight w:val="white"/>
          <w:u w:val="single"/>
          <w:rtl w:val="0"/>
        </w:rPr>
        <w:t xml:space="preserve">Saturday Prep Sessions (9 a.m. - 12 p.m.)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color w:val="222222"/>
          <w:sz w:val="24"/>
          <w:highlight w:val="white"/>
          <w:u w:val="single"/>
          <w:rtl w:val="0"/>
        </w:rPr>
        <w:t xml:space="preserve">April 18</w:t>
      </w:r>
      <w:r w:rsidRPr="00000000" w:rsidR="00000000" w:rsidDel="00000000">
        <w:rPr>
          <w:rFonts w:cs="Cambria" w:hAnsi="Cambria" w:eastAsia="Cambria" w:ascii="Cambria"/>
          <w:color w:val="222222"/>
          <w:sz w:val="24"/>
          <w:highlight w:val="white"/>
          <w:rtl w:val="0"/>
        </w:rPr>
        <w:t xml:space="preserve"> - Math, Math, Math!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color w:val="222222"/>
          <w:sz w:val="24"/>
          <w:highlight w:val="white"/>
          <w:u w:val="single"/>
          <w:rtl w:val="0"/>
        </w:rPr>
        <w:t xml:space="preserve">April 25</w:t>
      </w:r>
      <w:r w:rsidRPr="00000000" w:rsidR="00000000" w:rsidDel="00000000">
        <w:rPr>
          <w:rFonts w:cs="Cambria" w:hAnsi="Cambria" w:eastAsia="Cambria" w:ascii="Cambria"/>
          <w:color w:val="222222"/>
          <w:sz w:val="24"/>
          <w:highlight w:val="white"/>
          <w:rtl w:val="0"/>
        </w:rPr>
        <w:t xml:space="preserve"> - FRQ, FRQ, FRQ!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color w:val="222222"/>
          <w:sz w:val="24"/>
          <w:highlight w:val="white"/>
          <w:u w:val="single"/>
          <w:rtl w:val="0"/>
        </w:rPr>
        <w:t xml:space="preserve">May 2</w:t>
      </w:r>
      <w:r w:rsidRPr="00000000" w:rsidR="00000000" w:rsidDel="00000000">
        <w:rPr>
          <w:rFonts w:cs="Cambria" w:hAnsi="Cambria" w:eastAsia="Cambria" w:ascii="Cambria"/>
          <w:color w:val="222222"/>
          <w:sz w:val="24"/>
          <w:highlight w:val="white"/>
          <w:rtl w:val="0"/>
        </w:rPr>
        <w:t xml:space="preserve"> - MIXED REVIEW! 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center"/>
    </w:pPr>
    <w:r w:rsidRPr="00000000" w:rsidR="00000000" w:rsidDel="00000000">
      <w:rPr>
        <w:rtl w:val="0"/>
      </w:rPr>
      <w:t xml:space="preserve">AP Environmental Science Exam Review Guide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rFonts w:cs="Arial" w:hAnsi="Arial" w:eastAsia="Arial" w:ascii="Arial"/>
        <w:color w:val="222222"/>
        <w:sz w:val="20"/>
        <w:highlight w:val="white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